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附件1：2022年度杭州资本春季社会招聘岗位及资格条件一览表</w:t>
      </w:r>
      <w:bookmarkStart w:id="0" w:name="_GoBack"/>
      <w:bookmarkEnd w:id="0"/>
    </w:p>
    <w:tbl>
      <w:tblPr>
        <w:tblStyle w:val="3"/>
        <w:tblW w:w="15593" w:type="dxa"/>
        <w:tblInd w:w="-176" w:type="dxa"/>
        <w:tblLayout w:type="autofit"/>
        <w:tblCellMar>
          <w:top w:w="0" w:type="dxa"/>
          <w:left w:w="108" w:type="dxa"/>
          <w:bottom w:w="0" w:type="dxa"/>
          <w:right w:w="108" w:type="dxa"/>
        </w:tblCellMar>
      </w:tblPr>
      <w:tblGrid>
        <w:gridCol w:w="711"/>
        <w:gridCol w:w="707"/>
        <w:gridCol w:w="850"/>
        <w:gridCol w:w="426"/>
        <w:gridCol w:w="992"/>
        <w:gridCol w:w="1134"/>
        <w:gridCol w:w="4820"/>
        <w:gridCol w:w="5953"/>
      </w:tblGrid>
      <w:tr>
        <w:tblPrEx>
          <w:tblCellMar>
            <w:top w:w="0" w:type="dxa"/>
            <w:left w:w="108" w:type="dxa"/>
            <w:bottom w:w="0" w:type="dxa"/>
            <w:right w:w="108" w:type="dxa"/>
          </w:tblCellMar>
        </w:tblPrEx>
        <w:trPr>
          <w:trHeight w:val="480" w:hRule="atLeast"/>
        </w:trPr>
        <w:tc>
          <w:tcPr>
            <w:tcW w:w="711" w:type="dxa"/>
            <w:tcBorders>
              <w:top w:val="single" w:color="auto" w:sz="8" w:space="0"/>
              <w:left w:val="single" w:color="auto" w:sz="8" w:space="0"/>
              <w:bottom w:val="single" w:color="auto" w:sz="4" w:space="0"/>
              <w:right w:val="single" w:color="auto" w:sz="4" w:space="0"/>
            </w:tcBorders>
            <w:shd w:val="clear" w:color="000000" w:fill="BFBFB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岗位序号</w:t>
            </w:r>
          </w:p>
        </w:tc>
        <w:tc>
          <w:tcPr>
            <w:tcW w:w="707" w:type="dxa"/>
            <w:tcBorders>
              <w:top w:val="single" w:color="auto" w:sz="8" w:space="0"/>
              <w:left w:val="nil"/>
              <w:bottom w:val="single" w:color="auto" w:sz="4" w:space="0"/>
              <w:right w:val="single" w:color="auto" w:sz="4" w:space="0"/>
            </w:tcBorders>
            <w:shd w:val="clear" w:color="000000" w:fill="BFBFB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招聘</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主体</w:t>
            </w:r>
          </w:p>
        </w:tc>
        <w:tc>
          <w:tcPr>
            <w:tcW w:w="850" w:type="dxa"/>
            <w:tcBorders>
              <w:top w:val="single" w:color="auto" w:sz="8" w:space="0"/>
              <w:left w:val="nil"/>
              <w:bottom w:val="single" w:color="auto" w:sz="4" w:space="0"/>
              <w:right w:val="single" w:color="auto" w:sz="4" w:space="0"/>
            </w:tcBorders>
            <w:shd w:val="clear" w:color="000000" w:fill="BFBFB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招聘</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w:t>
            </w:r>
          </w:p>
        </w:tc>
        <w:tc>
          <w:tcPr>
            <w:tcW w:w="426" w:type="dxa"/>
            <w:tcBorders>
              <w:top w:val="single" w:color="auto" w:sz="8" w:space="0"/>
              <w:left w:val="nil"/>
              <w:bottom w:val="single" w:color="auto" w:sz="4" w:space="0"/>
              <w:right w:val="single" w:color="auto" w:sz="4" w:space="0"/>
            </w:tcBorders>
            <w:shd w:val="clear" w:color="000000" w:fill="BFBFB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人数</w:t>
            </w:r>
          </w:p>
        </w:tc>
        <w:tc>
          <w:tcPr>
            <w:tcW w:w="992" w:type="dxa"/>
            <w:tcBorders>
              <w:top w:val="single" w:color="auto" w:sz="8" w:space="0"/>
              <w:left w:val="nil"/>
              <w:bottom w:val="single" w:color="auto" w:sz="4" w:space="0"/>
              <w:right w:val="single" w:color="auto" w:sz="4" w:space="0"/>
            </w:tcBorders>
            <w:shd w:val="clear" w:color="000000" w:fill="BFBFB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学历</w:t>
            </w:r>
          </w:p>
        </w:tc>
        <w:tc>
          <w:tcPr>
            <w:tcW w:w="1134" w:type="dxa"/>
            <w:tcBorders>
              <w:top w:val="single" w:color="auto" w:sz="8" w:space="0"/>
              <w:left w:val="nil"/>
              <w:bottom w:val="single" w:color="auto" w:sz="4" w:space="0"/>
              <w:right w:val="single" w:color="auto" w:sz="4" w:space="0"/>
            </w:tcBorders>
            <w:shd w:val="clear" w:color="000000" w:fill="BFBFB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专业</w:t>
            </w:r>
          </w:p>
        </w:tc>
        <w:tc>
          <w:tcPr>
            <w:tcW w:w="4820" w:type="dxa"/>
            <w:tcBorders>
              <w:top w:val="single" w:color="auto" w:sz="8" w:space="0"/>
              <w:left w:val="nil"/>
              <w:bottom w:val="single" w:color="auto" w:sz="4" w:space="0"/>
              <w:right w:val="single" w:color="auto" w:sz="4" w:space="0"/>
            </w:tcBorders>
            <w:shd w:val="clear" w:color="000000" w:fill="BFBFB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岗位职责</w:t>
            </w:r>
          </w:p>
        </w:tc>
        <w:tc>
          <w:tcPr>
            <w:tcW w:w="5953" w:type="dxa"/>
            <w:tcBorders>
              <w:top w:val="single" w:color="auto" w:sz="8" w:space="0"/>
              <w:left w:val="nil"/>
              <w:bottom w:val="single" w:color="auto" w:sz="4" w:space="0"/>
              <w:right w:val="single" w:color="auto" w:sz="8" w:space="0"/>
            </w:tcBorders>
            <w:shd w:val="clear" w:color="000000" w:fill="BFBFB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任职资格、工作经历及其他资格条件</w:t>
            </w:r>
          </w:p>
        </w:tc>
      </w:tr>
      <w:tr>
        <w:tblPrEx>
          <w:tblCellMar>
            <w:top w:w="0" w:type="dxa"/>
            <w:left w:w="108" w:type="dxa"/>
            <w:bottom w:w="0" w:type="dxa"/>
            <w:right w:w="108" w:type="dxa"/>
          </w:tblCellMar>
        </w:tblPrEx>
        <w:trPr>
          <w:trHeight w:val="937" w:hRule="atLeast"/>
        </w:trPr>
        <w:tc>
          <w:tcPr>
            <w:tcW w:w="71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杭州资本</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投资（战略）发展部投资经理</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硕士研究生及以上学历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经济管理类相关专业，理工科复合背景优先</w:t>
            </w:r>
          </w:p>
        </w:tc>
        <w:tc>
          <w:tcPr>
            <w:tcW w:w="4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1.负责制订集团年度投资计划；</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2.负责所属企业战略投资项目的审核和指导工作；</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3.负责投资项目投后管理和评价相关工作。</w:t>
            </w:r>
          </w:p>
        </w:tc>
        <w:tc>
          <w:tcPr>
            <w:tcW w:w="5953"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1.具有2年及以上投资或战略规划相关工作经验；</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2.取得证券从业资格或基金从业资格证书；</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3.责任心强，工作认真细致，有良好的自我学习能力及知识更新能力，具有良好的团队协作能力、沟通能力与创新能力。</w:t>
            </w:r>
          </w:p>
        </w:tc>
      </w:tr>
      <w:tr>
        <w:tblPrEx>
          <w:tblCellMar>
            <w:top w:w="0" w:type="dxa"/>
            <w:left w:w="108" w:type="dxa"/>
            <w:bottom w:w="0" w:type="dxa"/>
            <w:right w:w="108" w:type="dxa"/>
          </w:tblCellMar>
        </w:tblPrEx>
        <w:trPr>
          <w:trHeight w:val="959" w:hRule="atLeast"/>
        </w:trPr>
        <w:tc>
          <w:tcPr>
            <w:tcW w:w="71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杭州资本</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风控法务部副总监</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硕士研究生及以上学历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法学、财会、金融、审计或经济管理相关专业</w:t>
            </w:r>
          </w:p>
        </w:tc>
        <w:tc>
          <w:tcPr>
            <w:tcW w:w="4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1.负责公司风险体系建设和风险控制管理工作，包括完善制度、制订计划并推进执行等；</w:t>
            </w:r>
            <w:r>
              <w:rPr>
                <w:rFonts w:hint="eastAsia" w:ascii="宋体" w:hAnsi="宋体" w:eastAsia="宋体" w:cs="宋体"/>
                <w:kern w:val="0"/>
                <w:sz w:val="16"/>
                <w:szCs w:val="16"/>
              </w:rPr>
              <w:br w:type="textWrapping"/>
            </w:r>
            <w:r>
              <w:rPr>
                <w:rFonts w:hint="eastAsia" w:ascii="宋体" w:hAnsi="宋体" w:eastAsia="宋体" w:cs="宋体"/>
                <w:kern w:val="0"/>
                <w:sz w:val="16"/>
                <w:szCs w:val="16"/>
              </w:rPr>
              <w:t>2.协助起草风险管理策略和政策，协助完成对公司重大决策、主要业务活动进行合规、风控审核；</w:t>
            </w:r>
          </w:p>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3.协助审核投资项目尽调报告的合理性、完整性，并给出风控意见。                       </w:t>
            </w:r>
          </w:p>
        </w:tc>
        <w:tc>
          <w:tcPr>
            <w:tcW w:w="5953"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1.具有2年以上律师事务所、会计师事务所或股权投资机构风控相关工作经历；</w:t>
            </w:r>
            <w:r>
              <w:rPr>
                <w:rFonts w:hint="eastAsia" w:ascii="宋体" w:hAnsi="宋体" w:eastAsia="宋体" w:cs="宋体"/>
                <w:kern w:val="0"/>
                <w:sz w:val="16"/>
                <w:szCs w:val="16"/>
              </w:rPr>
              <w:br w:type="textWrapping"/>
            </w:r>
            <w:r>
              <w:rPr>
                <w:rFonts w:hint="eastAsia" w:ascii="宋体" w:hAnsi="宋体" w:eastAsia="宋体" w:cs="宋体"/>
                <w:kern w:val="0"/>
                <w:sz w:val="16"/>
                <w:szCs w:val="16"/>
              </w:rPr>
              <w:t>2.具备CPA、通过国家司法考试等专业资格者优先；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3.熟悉风险管理和内控体系建设、风险管理策略、风险识别评估和专项风险管理方面的实务操作。</w:t>
            </w:r>
          </w:p>
        </w:tc>
      </w:tr>
      <w:tr>
        <w:tblPrEx>
          <w:tblCellMar>
            <w:top w:w="0" w:type="dxa"/>
            <w:left w:w="108" w:type="dxa"/>
            <w:bottom w:w="0" w:type="dxa"/>
            <w:right w:w="108" w:type="dxa"/>
          </w:tblCellMar>
        </w:tblPrEx>
        <w:trPr>
          <w:trHeight w:val="1050" w:hRule="atLeast"/>
        </w:trPr>
        <w:tc>
          <w:tcPr>
            <w:tcW w:w="71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杭州资本</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纪检室高级主管</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硕士研究生及以上学历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法学、财会、审计或相关专业</w:t>
            </w:r>
          </w:p>
        </w:tc>
        <w:tc>
          <w:tcPr>
            <w:tcW w:w="4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1.负责信访举报、问题线索的初核、审查调查，处理公司内违规、违纪问题；</w:t>
            </w:r>
            <w:r>
              <w:rPr>
                <w:rFonts w:hint="eastAsia" w:ascii="宋体" w:hAnsi="宋体" w:eastAsia="宋体" w:cs="宋体"/>
                <w:kern w:val="0"/>
                <w:sz w:val="16"/>
                <w:szCs w:val="16"/>
              </w:rPr>
              <w:br w:type="textWrapping"/>
            </w:r>
            <w:r>
              <w:rPr>
                <w:rFonts w:hint="eastAsia" w:ascii="宋体" w:hAnsi="宋体" w:eastAsia="宋体" w:cs="宋体"/>
                <w:kern w:val="0"/>
                <w:sz w:val="16"/>
                <w:szCs w:val="16"/>
              </w:rPr>
              <w:t>2.协助做好日常监督，对公司各项重大决策部署执行情况进行监督检查；</w:t>
            </w:r>
            <w:r>
              <w:rPr>
                <w:rFonts w:hint="eastAsia" w:ascii="宋体" w:hAnsi="宋体" w:eastAsia="宋体" w:cs="宋体"/>
                <w:kern w:val="0"/>
                <w:sz w:val="16"/>
                <w:szCs w:val="16"/>
              </w:rPr>
              <w:br w:type="textWrapping"/>
            </w:r>
            <w:r>
              <w:rPr>
                <w:rFonts w:hint="eastAsia" w:ascii="宋体" w:hAnsi="宋体" w:eastAsia="宋体" w:cs="宋体"/>
                <w:kern w:val="0"/>
                <w:sz w:val="16"/>
                <w:szCs w:val="16"/>
              </w:rPr>
              <w:t>3.指导、督办下属企业纪检机构开展监督执纪工作。</w:t>
            </w:r>
          </w:p>
        </w:tc>
        <w:tc>
          <w:tcPr>
            <w:tcW w:w="5953"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1.中共党员，具有较高的政治素养和理论素养；</w:t>
            </w:r>
            <w:r>
              <w:rPr>
                <w:rFonts w:hint="eastAsia" w:ascii="宋体" w:hAnsi="宋体" w:eastAsia="宋体" w:cs="宋体"/>
                <w:kern w:val="0"/>
                <w:sz w:val="16"/>
                <w:szCs w:val="16"/>
              </w:rPr>
              <w:br w:type="textWrapping"/>
            </w:r>
            <w:r>
              <w:rPr>
                <w:rFonts w:hint="eastAsia" w:ascii="宋体" w:hAnsi="宋体" w:eastAsia="宋体" w:cs="宋体"/>
                <w:kern w:val="0"/>
                <w:sz w:val="16"/>
                <w:szCs w:val="16"/>
              </w:rPr>
              <w:t>2.综合素质高，业务能力强，熟悉相关政策法规，具有较强的发现问题、沟通协调、文字综合等实际工作能力；</w:t>
            </w:r>
            <w:r>
              <w:rPr>
                <w:rFonts w:hint="eastAsia" w:ascii="宋体" w:hAnsi="宋体" w:eastAsia="宋体" w:cs="宋体"/>
                <w:kern w:val="0"/>
                <w:sz w:val="16"/>
                <w:szCs w:val="16"/>
              </w:rPr>
              <w:br w:type="textWrapping"/>
            </w:r>
            <w:r>
              <w:rPr>
                <w:rFonts w:hint="eastAsia" w:ascii="宋体" w:hAnsi="宋体" w:eastAsia="宋体" w:cs="宋体"/>
                <w:kern w:val="0"/>
                <w:sz w:val="16"/>
                <w:szCs w:val="16"/>
              </w:rPr>
              <w:t>3.有纪检监察、司法执法、审计工作经历者优先。</w:t>
            </w:r>
          </w:p>
        </w:tc>
      </w:tr>
      <w:tr>
        <w:tblPrEx>
          <w:tblCellMar>
            <w:top w:w="0" w:type="dxa"/>
            <w:left w:w="108" w:type="dxa"/>
            <w:bottom w:w="0" w:type="dxa"/>
            <w:right w:w="108" w:type="dxa"/>
          </w:tblCellMar>
        </w:tblPrEx>
        <w:trPr>
          <w:trHeight w:val="1890" w:hRule="atLeast"/>
        </w:trPr>
        <w:tc>
          <w:tcPr>
            <w:tcW w:w="71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杭州资本</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组织人事部主管</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硕士研究生及以上学历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人力资源管理、行政管理、公共管理、企业管理等相关专业</w:t>
            </w:r>
          </w:p>
        </w:tc>
        <w:tc>
          <w:tcPr>
            <w:tcW w:w="4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1.负责组织发展和干部管理工作，做好组织发展规划和优化调整，建立和完善组织架构审批以及定岗定编的制度、流程等；</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2.负责搭建各职级岗位序列的胜任力模型及其应用体系，为招聘、培训和绩效管理工作提供专业依据；</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3.配合干部选拔任用和日常管理工作，做好干部考察、述职、测评、任免、出国境审批等工作；</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4.协助培训、人才和下属企业人事相关工作。</w:t>
            </w:r>
          </w:p>
        </w:tc>
        <w:tc>
          <w:tcPr>
            <w:tcW w:w="5953"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1.熟悉国有企业组织人事相关工作制度，掌握人才梯队建设、胜任力模型、任职资格和人才盘点等相关业务技能；</w:t>
            </w:r>
            <w:r>
              <w:rPr>
                <w:rFonts w:hint="eastAsia" w:ascii="宋体" w:hAnsi="宋体" w:eastAsia="宋体" w:cs="宋体"/>
                <w:kern w:val="0"/>
                <w:sz w:val="16"/>
                <w:szCs w:val="16"/>
              </w:rPr>
              <w:br w:type="textWrapping"/>
            </w:r>
            <w:r>
              <w:rPr>
                <w:rFonts w:hint="eastAsia" w:ascii="宋体" w:hAnsi="宋体" w:eastAsia="宋体" w:cs="宋体"/>
                <w:kern w:val="0"/>
                <w:sz w:val="16"/>
                <w:szCs w:val="16"/>
              </w:rPr>
              <w:t>2.中共党员，拥护党的路线、方针、政策，遵守国家的法律、法规，政治素质好，责任心强，具有党务工作经历者优先；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3.专业能力强，逻辑思维清晰，善于学习思考；</w:t>
            </w:r>
            <w:r>
              <w:rPr>
                <w:rFonts w:hint="eastAsia" w:ascii="宋体" w:hAnsi="宋体" w:eastAsia="宋体" w:cs="宋体"/>
                <w:kern w:val="0"/>
                <w:sz w:val="16"/>
                <w:szCs w:val="16"/>
              </w:rPr>
              <w:br w:type="textWrapping"/>
            </w:r>
            <w:r>
              <w:rPr>
                <w:rFonts w:hint="eastAsia" w:ascii="宋体" w:hAnsi="宋体" w:eastAsia="宋体" w:cs="宋体"/>
                <w:kern w:val="0"/>
                <w:sz w:val="16"/>
                <w:szCs w:val="16"/>
              </w:rPr>
              <w:t>4.积极主动，具备独立解决问题能力，能承受工作压力和服从组织安排。</w:t>
            </w:r>
          </w:p>
        </w:tc>
      </w:tr>
      <w:tr>
        <w:tblPrEx>
          <w:tblCellMar>
            <w:top w:w="0" w:type="dxa"/>
            <w:left w:w="108" w:type="dxa"/>
            <w:bottom w:w="0" w:type="dxa"/>
            <w:right w:w="108" w:type="dxa"/>
          </w:tblCellMar>
        </w:tblPrEx>
        <w:trPr>
          <w:trHeight w:val="70" w:hRule="atLeast"/>
        </w:trPr>
        <w:tc>
          <w:tcPr>
            <w:tcW w:w="71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国舜投资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高级投资经理</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硕士研究生及以上学历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经济管理类相关专业，理工科复合背景优先</w:t>
            </w:r>
          </w:p>
        </w:tc>
        <w:tc>
          <w:tcPr>
            <w:tcW w:w="4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1.负责股权投资基金项目开拓及承做、尽职调查、谈判和交割等工作；</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2.负责投资项目的投后管理和赋能工作；</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3.负责定期开展行业研究工作。</w:t>
            </w:r>
          </w:p>
        </w:tc>
        <w:tc>
          <w:tcPr>
            <w:tcW w:w="5953"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1.具有2年及以上股权投资相关工作经验，专注于集成电路、人工智能、大数据云计算、先进制造和生命健康等领域；</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2.取得证券从业资格或基金从业资格证书；</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3.具备3个以上明星投资案例，知名机构同等经验者优先；</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4.责任心强，工作认真细致，有良好的自我学习能力及知识更新能力，具有良好的团队协作能力、沟通能力与创新能力。</w:t>
            </w:r>
          </w:p>
        </w:tc>
      </w:tr>
      <w:tr>
        <w:tblPrEx>
          <w:tblCellMar>
            <w:top w:w="0" w:type="dxa"/>
            <w:left w:w="108" w:type="dxa"/>
            <w:bottom w:w="0" w:type="dxa"/>
            <w:right w:w="108" w:type="dxa"/>
          </w:tblCellMar>
        </w:tblPrEx>
        <w:trPr>
          <w:trHeight w:val="70" w:hRule="atLeast"/>
        </w:trPr>
        <w:tc>
          <w:tcPr>
            <w:tcW w:w="71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国舜投资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风控副总监</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硕士研究生及以上学历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经济、金融、财务类相关专业</w:t>
            </w:r>
          </w:p>
        </w:tc>
        <w:tc>
          <w:tcPr>
            <w:tcW w:w="4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1.负责建立和完善公司投资业务风控体系；</w:t>
            </w:r>
            <w:r>
              <w:rPr>
                <w:rFonts w:hint="eastAsia" w:ascii="宋体" w:hAnsi="宋体" w:eastAsia="宋体" w:cs="宋体"/>
                <w:kern w:val="0"/>
                <w:sz w:val="16"/>
                <w:szCs w:val="16"/>
              </w:rPr>
              <w:br w:type="textWrapping"/>
            </w:r>
            <w:r>
              <w:rPr>
                <w:rFonts w:hint="eastAsia" w:ascii="宋体" w:hAnsi="宋体" w:eastAsia="宋体" w:cs="宋体"/>
                <w:kern w:val="0"/>
                <w:sz w:val="16"/>
                <w:szCs w:val="16"/>
              </w:rPr>
              <w:t>2.负责开展投资项目财务尽调，提示投资风险；</w:t>
            </w:r>
            <w:r>
              <w:rPr>
                <w:rFonts w:hint="eastAsia" w:ascii="宋体" w:hAnsi="宋体" w:eastAsia="宋体" w:cs="宋体"/>
                <w:kern w:val="0"/>
                <w:sz w:val="16"/>
                <w:szCs w:val="16"/>
              </w:rPr>
              <w:br w:type="textWrapping"/>
            </w:r>
            <w:r>
              <w:rPr>
                <w:rFonts w:hint="eastAsia" w:ascii="宋体" w:hAnsi="宋体" w:eastAsia="宋体" w:cs="宋体"/>
                <w:kern w:val="0"/>
                <w:sz w:val="16"/>
                <w:szCs w:val="16"/>
              </w:rPr>
              <w:t>3.负责开展投后管理工作，完善投资项目风险评价体系。</w:t>
            </w:r>
          </w:p>
        </w:tc>
        <w:tc>
          <w:tcPr>
            <w:tcW w:w="5953"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1.具有2年以上会计师事务所或股权投资机构财务审计或风控相关工作经历；</w:t>
            </w:r>
            <w:r>
              <w:rPr>
                <w:rFonts w:hint="eastAsia" w:ascii="宋体" w:hAnsi="宋体" w:eastAsia="宋体" w:cs="宋体"/>
                <w:kern w:val="0"/>
                <w:sz w:val="16"/>
                <w:szCs w:val="16"/>
              </w:rPr>
              <w:br w:type="textWrapping"/>
            </w:r>
            <w:r>
              <w:rPr>
                <w:rFonts w:hint="eastAsia" w:ascii="宋体" w:hAnsi="宋体" w:eastAsia="宋体" w:cs="宋体"/>
                <w:kern w:val="0"/>
                <w:sz w:val="16"/>
                <w:szCs w:val="16"/>
              </w:rPr>
              <w:t>2.具备CPA、基金从业资格等专业资格者优先；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3.具有优秀的业务能力，熟悉股权投资业务风控体系建设；</w:t>
            </w:r>
            <w:r>
              <w:rPr>
                <w:rFonts w:hint="eastAsia" w:ascii="宋体" w:hAnsi="宋体" w:eastAsia="宋体" w:cs="宋体"/>
                <w:kern w:val="0"/>
                <w:sz w:val="16"/>
                <w:szCs w:val="16"/>
              </w:rPr>
              <w:br w:type="textWrapping"/>
            </w:r>
            <w:r>
              <w:rPr>
                <w:rFonts w:hint="eastAsia" w:ascii="宋体" w:hAnsi="宋体" w:eastAsia="宋体" w:cs="宋体"/>
                <w:kern w:val="0"/>
                <w:sz w:val="16"/>
                <w:szCs w:val="16"/>
              </w:rPr>
              <w:t>4.责任心强，工作认真细致，有良好的自我学习能力及知识更新能力，具有良好的团队协作能力、沟通能力与创新能力。</w:t>
            </w:r>
          </w:p>
        </w:tc>
      </w:tr>
      <w:tr>
        <w:tblPrEx>
          <w:tblCellMar>
            <w:top w:w="0" w:type="dxa"/>
            <w:left w:w="108" w:type="dxa"/>
            <w:bottom w:w="0" w:type="dxa"/>
            <w:right w:w="108" w:type="dxa"/>
          </w:tblCellMar>
        </w:tblPrEx>
        <w:trPr>
          <w:trHeight w:val="1512" w:hRule="atLeast"/>
        </w:trPr>
        <w:tc>
          <w:tcPr>
            <w:tcW w:w="71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7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国舜投资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运营经理</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硕士研究生及以上学历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经济、管理或法律相关专业</w:t>
            </w:r>
          </w:p>
        </w:tc>
        <w:tc>
          <w:tcPr>
            <w:tcW w:w="4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1.负责股权投资业务数据报表的统计分析工作；</w:t>
            </w:r>
            <w:r>
              <w:rPr>
                <w:rFonts w:hint="eastAsia" w:ascii="宋体" w:hAnsi="宋体" w:eastAsia="宋体" w:cs="宋体"/>
                <w:kern w:val="0"/>
                <w:sz w:val="16"/>
                <w:szCs w:val="16"/>
              </w:rPr>
              <w:br w:type="textWrapping"/>
            </w:r>
            <w:r>
              <w:rPr>
                <w:rFonts w:hint="eastAsia" w:ascii="宋体" w:hAnsi="宋体" w:eastAsia="宋体" w:cs="宋体"/>
                <w:kern w:val="0"/>
                <w:sz w:val="16"/>
                <w:szCs w:val="16"/>
              </w:rPr>
              <w:t>2.负责投资项目投后赋能相关工作；</w:t>
            </w:r>
            <w:r>
              <w:rPr>
                <w:rFonts w:hint="eastAsia" w:ascii="宋体" w:hAnsi="宋体" w:eastAsia="宋体" w:cs="宋体"/>
                <w:kern w:val="0"/>
                <w:sz w:val="16"/>
                <w:szCs w:val="16"/>
              </w:rPr>
              <w:br w:type="textWrapping"/>
            </w:r>
            <w:r>
              <w:rPr>
                <w:rFonts w:hint="eastAsia" w:ascii="宋体" w:hAnsi="宋体" w:eastAsia="宋体" w:cs="宋体"/>
                <w:kern w:val="0"/>
                <w:sz w:val="16"/>
                <w:szCs w:val="16"/>
              </w:rPr>
              <w:t>3.负责基金业协会事务的沟通协调工作；</w:t>
            </w:r>
            <w:r>
              <w:rPr>
                <w:rFonts w:hint="eastAsia" w:ascii="宋体" w:hAnsi="宋体" w:eastAsia="宋体" w:cs="宋体"/>
                <w:kern w:val="0"/>
                <w:sz w:val="16"/>
                <w:szCs w:val="16"/>
              </w:rPr>
              <w:br w:type="textWrapping"/>
            </w:r>
            <w:r>
              <w:rPr>
                <w:rFonts w:hint="eastAsia" w:ascii="宋体" w:hAnsi="宋体" w:eastAsia="宋体" w:cs="宋体"/>
                <w:kern w:val="0"/>
                <w:sz w:val="16"/>
                <w:szCs w:val="16"/>
              </w:rPr>
              <w:t>4.负责基金投决会的组织工作；</w:t>
            </w:r>
            <w:r>
              <w:rPr>
                <w:rFonts w:hint="eastAsia" w:ascii="宋体" w:hAnsi="宋体" w:eastAsia="宋体" w:cs="宋体"/>
                <w:kern w:val="0"/>
                <w:sz w:val="16"/>
                <w:szCs w:val="16"/>
              </w:rPr>
              <w:br w:type="textWrapping"/>
            </w:r>
            <w:r>
              <w:rPr>
                <w:rFonts w:hint="eastAsia" w:ascii="宋体" w:hAnsi="宋体" w:eastAsia="宋体" w:cs="宋体"/>
                <w:kern w:val="0"/>
                <w:sz w:val="16"/>
                <w:szCs w:val="16"/>
              </w:rPr>
              <w:t>5.负责基金投资者关系、渠道拓展维护和宣传相关工作。</w:t>
            </w:r>
          </w:p>
        </w:tc>
        <w:tc>
          <w:tcPr>
            <w:tcW w:w="5953"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1.具有2年以上股权投资基金运营工作经验，有私募股权基金行业或公司从业经历者优先；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2.熟悉基金业协会平台的操作使用；</w:t>
            </w:r>
            <w:r>
              <w:rPr>
                <w:rFonts w:hint="eastAsia" w:ascii="宋体" w:hAnsi="宋体" w:eastAsia="宋体" w:cs="宋体"/>
                <w:kern w:val="0"/>
                <w:sz w:val="16"/>
                <w:szCs w:val="16"/>
              </w:rPr>
              <w:br w:type="textWrapping"/>
            </w:r>
            <w:r>
              <w:rPr>
                <w:rFonts w:hint="eastAsia" w:ascii="宋体" w:hAnsi="宋体" w:eastAsia="宋体" w:cs="宋体"/>
                <w:kern w:val="0"/>
                <w:sz w:val="16"/>
                <w:szCs w:val="16"/>
              </w:rPr>
              <w:t>3.取得基金从业资格证书；</w:t>
            </w:r>
            <w:r>
              <w:rPr>
                <w:rFonts w:hint="eastAsia" w:ascii="宋体" w:hAnsi="宋体" w:eastAsia="宋体" w:cs="宋体"/>
                <w:kern w:val="0"/>
                <w:sz w:val="16"/>
                <w:szCs w:val="16"/>
              </w:rPr>
              <w:br w:type="textWrapping"/>
            </w:r>
            <w:r>
              <w:rPr>
                <w:rFonts w:hint="eastAsia" w:ascii="宋体" w:hAnsi="宋体" w:eastAsia="宋体" w:cs="宋体"/>
                <w:kern w:val="0"/>
                <w:sz w:val="16"/>
                <w:szCs w:val="16"/>
              </w:rPr>
              <w:t>4.责任心强，工作认真细致，有良好的自我学习能力及知识更新能力，具有良好的团队协作能力、沟通能力与创新能力。</w:t>
            </w:r>
          </w:p>
        </w:tc>
      </w:tr>
      <w:tr>
        <w:tblPrEx>
          <w:tblCellMar>
            <w:top w:w="0" w:type="dxa"/>
            <w:left w:w="108" w:type="dxa"/>
            <w:bottom w:w="0" w:type="dxa"/>
            <w:right w:w="108" w:type="dxa"/>
          </w:tblCellMar>
        </w:tblPrEx>
        <w:trPr>
          <w:trHeight w:val="1310" w:hRule="atLeast"/>
        </w:trPr>
        <w:tc>
          <w:tcPr>
            <w:tcW w:w="71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杭资运营</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法务部副经理</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硕士研究生及以上学历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法律等相关专业</w:t>
            </w:r>
          </w:p>
        </w:tc>
        <w:tc>
          <w:tcPr>
            <w:tcW w:w="4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1.建设公司法律事务工作制度、流程和法律风险管控体系；</w:t>
            </w:r>
            <w:r>
              <w:rPr>
                <w:rFonts w:hint="eastAsia" w:ascii="宋体" w:hAnsi="宋体" w:eastAsia="宋体" w:cs="宋体"/>
                <w:kern w:val="0"/>
                <w:sz w:val="16"/>
                <w:szCs w:val="16"/>
              </w:rPr>
              <w:br w:type="textWrapping"/>
            </w:r>
            <w:r>
              <w:rPr>
                <w:rFonts w:hint="eastAsia" w:ascii="宋体" w:hAnsi="宋体" w:eastAsia="宋体" w:cs="宋体"/>
                <w:kern w:val="0"/>
                <w:sz w:val="16"/>
                <w:szCs w:val="16"/>
              </w:rPr>
              <w:t xml:space="preserve">2.建设合同管理体系，负责起草、审核重要合同等法律文件； </w:t>
            </w:r>
            <w:r>
              <w:rPr>
                <w:rFonts w:hint="eastAsia" w:ascii="宋体" w:hAnsi="宋体" w:eastAsia="宋体" w:cs="宋体"/>
                <w:kern w:val="0"/>
                <w:sz w:val="16"/>
                <w:szCs w:val="16"/>
              </w:rPr>
              <w:br w:type="textWrapping"/>
            </w:r>
            <w:r>
              <w:rPr>
                <w:rFonts w:hint="eastAsia" w:ascii="宋体" w:hAnsi="宋体" w:eastAsia="宋体" w:cs="宋体"/>
                <w:kern w:val="0"/>
                <w:sz w:val="16"/>
                <w:szCs w:val="16"/>
              </w:rPr>
              <w:t>3.建设诉讼、仲裁管理体系，负责公司运营、下属企业重组、股权处置、留存资产处置等方面的诉讼、仲裁管理，跟踪处理重大诉讼、仲裁案件；</w:t>
            </w:r>
            <w:r>
              <w:rPr>
                <w:rFonts w:hint="eastAsia" w:ascii="宋体" w:hAnsi="宋体" w:eastAsia="宋体" w:cs="宋体"/>
                <w:kern w:val="0"/>
                <w:sz w:val="16"/>
                <w:szCs w:val="16"/>
              </w:rPr>
              <w:br w:type="textWrapping"/>
            </w:r>
            <w:r>
              <w:rPr>
                <w:rFonts w:hint="eastAsia" w:ascii="宋体" w:hAnsi="宋体" w:eastAsia="宋体" w:cs="宋体"/>
                <w:kern w:val="0"/>
                <w:sz w:val="16"/>
                <w:szCs w:val="16"/>
              </w:rPr>
              <w:t>4.负责与外聘律师、法律顾问的联络、配合工作。</w:t>
            </w:r>
          </w:p>
        </w:tc>
        <w:tc>
          <w:tcPr>
            <w:tcW w:w="5953"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1.具有2年及以上律师事务所或企业法务相关工作经验,通过国家司法考试者优先；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2.熟悉合同法、公司法、劳动法、经济法等相关法律法规，对企业经营中的各类法律事务有较强的处理能力及一定的实践操作经验；</w:t>
            </w:r>
            <w:r>
              <w:rPr>
                <w:rFonts w:hint="eastAsia" w:ascii="宋体" w:hAnsi="宋体" w:eastAsia="宋体" w:cs="宋体"/>
                <w:kern w:val="0"/>
                <w:sz w:val="16"/>
                <w:szCs w:val="16"/>
              </w:rPr>
              <w:br w:type="textWrapping"/>
            </w:r>
            <w:r>
              <w:rPr>
                <w:rFonts w:hint="eastAsia" w:ascii="宋体" w:hAnsi="宋体" w:eastAsia="宋体" w:cs="宋体"/>
                <w:kern w:val="0"/>
                <w:sz w:val="16"/>
                <w:szCs w:val="16"/>
              </w:rPr>
              <w:t>3.责任心强，工作认真细致，有良好的自我驱动能力、沟通能力及知识更新能力。</w:t>
            </w:r>
          </w:p>
        </w:tc>
      </w:tr>
      <w:tr>
        <w:tblPrEx>
          <w:tblCellMar>
            <w:top w:w="0" w:type="dxa"/>
            <w:left w:w="108" w:type="dxa"/>
            <w:bottom w:w="0" w:type="dxa"/>
            <w:right w:w="108" w:type="dxa"/>
          </w:tblCellMar>
        </w:tblPrEx>
        <w:trPr>
          <w:trHeight w:val="1470" w:hRule="atLeast"/>
        </w:trPr>
        <w:tc>
          <w:tcPr>
            <w:tcW w:w="711"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杭资运营</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资本运营部高级主管</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硕士研究生及以上学历</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经济管理类相关专业，理工科复合背景优先</w:t>
            </w:r>
          </w:p>
        </w:tc>
        <w:tc>
          <w:tcPr>
            <w:tcW w:w="4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1.定期调研下属企业情况及对其所处行业开展研究，挖掘、寻求内外战略合作资源，为公司深化运营管控提供建议；</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2.负责对下属企业开展投资赋能、资本运作等工作，包括尽职调查、方案设计、谈判和交割等；</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3.参与公司下属低效无效资产处置平台中股权处置、资产处置相关工作。</w:t>
            </w:r>
          </w:p>
        </w:tc>
        <w:tc>
          <w:tcPr>
            <w:tcW w:w="5953"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1.具有2年及以上会计师事务所、券商投行、股权投资等中介机构相关工作经验；</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2.熟悉企业上市、分拆上市、资本运作等操作模式，具备相关项目工作经历，有一定战略合作资源者优先；</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3.责任心强，工作认真细致，有良好的自我驱动能力、沟通能力及知识更新能力。</w:t>
            </w:r>
          </w:p>
        </w:tc>
      </w:tr>
      <w:tr>
        <w:tblPrEx>
          <w:tblCellMar>
            <w:top w:w="0" w:type="dxa"/>
            <w:left w:w="108" w:type="dxa"/>
            <w:bottom w:w="0" w:type="dxa"/>
            <w:right w:w="108" w:type="dxa"/>
          </w:tblCellMar>
        </w:tblPrEx>
        <w:trPr>
          <w:trHeight w:val="983" w:hRule="atLeast"/>
        </w:trPr>
        <w:tc>
          <w:tcPr>
            <w:tcW w:w="711"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707" w:type="dxa"/>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杭资运营</w:t>
            </w:r>
          </w:p>
        </w:tc>
        <w:tc>
          <w:tcPr>
            <w:tcW w:w="85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资产管理部高级主管</w:t>
            </w:r>
          </w:p>
        </w:tc>
        <w:tc>
          <w:tcPr>
            <w:tcW w:w="426"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992"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硕士研究生及以上学历</w:t>
            </w:r>
          </w:p>
        </w:tc>
        <w:tc>
          <w:tcPr>
            <w:tcW w:w="1134"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财会、审计、评估等相关专业</w:t>
            </w:r>
          </w:p>
        </w:tc>
        <w:tc>
          <w:tcPr>
            <w:tcW w:w="4820"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1.负责公司及下属企业资产评估备案工作，分析判断评估报告的合理性、准确性；</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2.负责与外聘评估机构的联络、配合工作，增强评估结果的公允性，使评估工作服务于经济行为本身；</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3.参与公司下属低效无效资产处置平台中股权处置、资产处置相关工作。</w:t>
            </w:r>
          </w:p>
        </w:tc>
        <w:tc>
          <w:tcPr>
            <w:tcW w:w="5953"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1.具有2年及以上资产评估机构相关工作经验，熟悉资产评估工作流程、评估方法和关键节点；</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2.熟悉资产的市场化处置方式或有一定资产处置机构合作资源者优先；</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3.责任心强，工作认真细致，有良好的自我驱动能力、沟通能力及知识更新能力。</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C349C"/>
    <w:rsid w:val="30BC3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2022-03-21T02:28:00Z</dcterms:created>
  <dc:creator>浙江龙宙</dc:creator>
  <cp:lastModifiedBy>浙江龙宙</cp:lastModifiedBy>
  <dcterms:modified xsi:type="dcterms:W3CDTF">2022-03-21T02:29:00Z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56401C85B66B4843B9D3601BECF8B542</vt:lpwstr>
  </property>
</Properties>
</file>