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60"/>
        <w:gridCol w:w="585"/>
        <w:gridCol w:w="390"/>
        <w:gridCol w:w="1590"/>
        <w:gridCol w:w="1410"/>
        <w:gridCol w:w="705"/>
        <w:gridCol w:w="3330"/>
      </w:tblGrid>
      <w:tr w:rsidR="008E7911" w:rsidRPr="008E7911" w:rsidTr="008E7911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专业和学历</w:t>
            </w:r>
          </w:p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（学位）要求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岗位其他要求</w:t>
            </w:r>
          </w:p>
        </w:tc>
      </w:tr>
      <w:tr w:rsidR="008E7911" w:rsidRPr="008E7911" w:rsidTr="008E7911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综合事务部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综合性材料撰写、事务协调和公务联络接待，需长期出差，建议男性。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中共正式党员且符合下列条件之一：1.2019年全日制普通高校应届毕业生；2.历届生（已取得学历学位），年龄在35周岁以下。</w:t>
            </w:r>
          </w:p>
        </w:tc>
      </w:tr>
      <w:tr w:rsidR="008E7911" w:rsidRPr="008E7911" w:rsidTr="008E7911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人事管理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从事单位内部教职工薪酬管理等工作。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中共正式党员，有1年及以上在高等院校专职从事人力资源工作经历，年龄在35周岁以下。</w:t>
            </w:r>
          </w:p>
        </w:tc>
      </w:tr>
      <w:tr w:rsidR="008E7911" w:rsidRPr="008E7911" w:rsidTr="008E7911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资产财务部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从事财务管理工作。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会计学、财务管理专业；研究生学历且硕士及以上学位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1.2019年全日制普通高校应届毕业生；2.历届生（已取得学历学位），年龄在35周岁以下。</w:t>
            </w:r>
          </w:p>
        </w:tc>
      </w:tr>
      <w:tr w:rsidR="008E7911" w:rsidRPr="008E7911" w:rsidTr="008E7911">
        <w:trPr>
          <w:trHeight w:val="67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总务部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基建管理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从事基建工程管理（需下工地），参与项目设计、施工、预决算施工全过程管理，建议男性。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建筑学、土木工程、电气工程、工程管理等专业；本科及以上学历、学士及以上学位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8E7911" w:rsidRPr="008E7911" w:rsidRDefault="008E7911" w:rsidP="008E7911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E791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1.2019年全日制普通高校应届毕业生；2.历届生（已取得学历学位），需有1年及以上在企事业单位专职从事基建管理工作经历，年龄在35周岁以下。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41F3"/>
    <w:rsid w:val="008B7726"/>
    <w:rsid w:val="008E791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9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2019-02-19T08:09:00Z</dcterms:modified>
</cp:coreProperties>
</file>