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0" w:lineRule="atLeast"/>
        <w:ind w:lef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12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2"/>
          <w:sz w:val="32"/>
          <w:szCs w:val="32"/>
          <w:shd w:val="clear" w:fill="FFFFFF"/>
        </w:rPr>
        <w:t>二、招录人数</w:t>
      </w:r>
    </w:p>
    <w:tbl>
      <w:tblPr>
        <w:tblpPr w:vertAnchor="text" w:tblpXSpec="left"/>
        <w:tblW w:w="6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981"/>
        <w:gridCol w:w="398"/>
        <w:gridCol w:w="540"/>
        <w:gridCol w:w="828"/>
        <w:gridCol w:w="591"/>
        <w:gridCol w:w="756"/>
        <w:gridCol w:w="11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黄岩区人民检察院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100301</w:t>
            </w:r>
          </w:p>
        </w:tc>
        <w:tc>
          <w:tcPr>
            <w:tcW w:w="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限台州市区（椒江、黄岩、路桥三区）内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100302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限台州市区（椒江、黄岩、路桥三区）内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3C0C"/>
    <w:rsid w:val="4F0E3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2018-05-15T04:33:00Z</dcterms:created>
  <dc:creator>武大娟</dc:creator>
  <cp:lastModifiedBy>武大娟</cp:lastModifiedBy>
  <dcterms:modified xsi:type="dcterms:W3CDTF">2018-05-15T04:33:20Z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