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5249"/>
        <w:gridCol w:w="10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招聘岗位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4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学历、专业等招考要求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4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  <w:bdr w:val="none" w:color="auto" w:sz="0" w:space="0"/>
              </w:rPr>
              <w:t>计划人数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工作人员 </w:t>
            </w:r>
          </w:p>
        </w:tc>
        <w:tc>
          <w:tcPr>
            <w:tcW w:w="5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、大专及以上学历；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、专业不限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熟悉计算机操作者优先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;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1987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日以后出生，义乌市户籍（以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日户口所在地为准）。 </w:t>
            </w:r>
          </w:p>
        </w:tc>
        <w:tc>
          <w:tcPr>
            <w:tcW w:w="10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2017-10-01T00:58:36Z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