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7"/>
          <w:szCs w:val="17"/>
          <w:shd w:val="clear" w:fill="FFFFFF"/>
          <w:lang w:val="en-US" w:eastAsia="zh-CN" w:bidi="ar"/>
        </w:rPr>
        <w:t>退役大学毕业生士兵服役表现量化评分，占总成绩20%。</w:t>
      </w:r>
    </w:p>
    <w:tbl>
      <w:tblPr>
        <w:tblW w:w="6848" w:type="dxa"/>
        <w:jc w:val="center"/>
        <w:tblCellSpacing w:w="0" w:type="dxa"/>
        <w:tblInd w:w="7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7"/>
        <w:gridCol w:w="2483"/>
        <w:gridCol w:w="1379"/>
        <w:gridCol w:w="17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tblCellSpacing w:w="0" w:type="dxa"/>
          <w:jc w:val="center"/>
        </w:trPr>
        <w:tc>
          <w:tcPr>
            <w:tcW w:w="12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项目</w:t>
            </w:r>
          </w:p>
        </w:tc>
        <w:tc>
          <w:tcPr>
            <w:tcW w:w="24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记分内容和标准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项目</w:t>
            </w:r>
          </w:p>
        </w:tc>
        <w:tc>
          <w:tcPr>
            <w:tcW w:w="1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记分内容和标准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  <w:tblCellSpacing w:w="0" w:type="dxa"/>
          <w:jc w:val="center"/>
        </w:trPr>
        <w:tc>
          <w:tcPr>
            <w:tcW w:w="12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服役年限记分（总分10分）</w:t>
            </w:r>
          </w:p>
        </w:tc>
        <w:tc>
          <w:tcPr>
            <w:tcW w:w="24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每年计1分。（服现役不满6个月的按6个月计算，计0.5分；超过6个月不满1年的按1年计算，计1分；总分不超过10分。）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奖励记分（总分10分）</w:t>
            </w:r>
          </w:p>
        </w:tc>
        <w:tc>
          <w:tcPr>
            <w:tcW w:w="1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嘉奖（1分/次）、三等功（5分/次），总分不超过10分。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  <w:jc w:val="center"/>
        </w:trPr>
        <w:tc>
          <w:tcPr>
            <w:tcW w:w="12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记分说明</w:t>
            </w:r>
          </w:p>
        </w:tc>
        <w:tc>
          <w:tcPr>
            <w:tcW w:w="558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服役表现量化总分20分，占总成绩的20%。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970F0"/>
    <w:rsid w:val="2C0970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2018-11-07T02:46:00Z</dcterms:created>
  <dc:creator>ASUS</dc:creator>
  <cp:lastModifiedBy>ASUS</cp:lastModifiedBy>
  <dcterms:modified xsi:type="dcterms:W3CDTF">2018-11-07T02:46:22Z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