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141414"/>
          <w:spacing w:val="0"/>
          <w:sz w:val="28"/>
          <w:szCs w:val="28"/>
          <w:bdr w:val="none" w:color="auto" w:sz="0" w:space="0"/>
          <w:shd w:val="clear" w:fill="FFFFFF"/>
        </w:rPr>
        <w:t>2018年云和县事业单位紧缺及高层次人才岗位需求表（二）</w:t>
      </w:r>
    </w:p>
    <w:tbl>
      <w:tblPr>
        <w:tblW w:w="13491" w:type="dxa"/>
        <w:jc w:val="center"/>
        <w:tblInd w:w="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2464"/>
        <w:gridCol w:w="2353"/>
        <w:gridCol w:w="2090"/>
        <w:gridCol w:w="2379"/>
        <w:gridCol w:w="1113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涉及岗位（科室）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学历（职称）要求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拟引进人数（人）</w:t>
            </w:r>
          </w:p>
        </w:tc>
        <w:tc>
          <w:tcPr>
            <w:tcW w:w="2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jc w:val="center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云和县公证处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14141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须通过国家统一司法考试并取得A、B类法律职业资格证书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05964"/>
    <w:rsid w:val="766059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2018-04-25T13:53:00Z</dcterms:created>
  <dc:creator>石虎哥</dc:creator>
  <cp:lastModifiedBy>石虎哥</cp:lastModifiedBy>
  <dcterms:modified xsi:type="dcterms:W3CDTF">2018-04-25T13:53:58Z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