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0B" w:rsidRDefault="0031700B" w:rsidP="0031700B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 </w:t>
      </w:r>
    </w:p>
    <w:p w:rsidR="0031700B" w:rsidRDefault="0031700B" w:rsidP="0031700B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2018年衢江区第二期事业单位公开招聘工作人员</w:t>
      </w:r>
    </w:p>
    <w:p w:rsidR="0031700B" w:rsidRDefault="0031700B" w:rsidP="0031700B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专业资格审查办法</w:t>
      </w:r>
    </w:p>
    <w:p w:rsidR="0031700B" w:rsidRDefault="0031700B" w:rsidP="0031700B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 </w:t>
      </w:r>
    </w:p>
    <w:p w:rsidR="0031700B" w:rsidRDefault="0031700B" w:rsidP="0031700B">
      <w:pPr>
        <w:pStyle w:val="a3"/>
        <w:shd w:val="clear" w:color="auto" w:fill="FFFFFF"/>
        <w:spacing w:before="0" w:beforeAutospacing="0" w:after="0" w:afterAutospacing="0" w:line="555" w:lineRule="atLeast"/>
        <w:ind w:firstLine="795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1.根据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事业单位招聘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岗位职责需要,专业资格审查以教育部《普通高等学校高职高专专业目录（2012版）》、《普通高等学校本科专业目录（2012年）》、《普通高等学校本科专业目录新旧专业对照表（2012年）》、《授予博士、硕士学位和培养研究生的学科、专业目录》（2008年颁布）为依据。</w:t>
      </w:r>
    </w:p>
    <w:p w:rsidR="0031700B" w:rsidRDefault="0031700B" w:rsidP="0031700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2.招聘岗位专业要求为具体专业类、专业的，依据以上专业目录进行审查。</w:t>
      </w:r>
    </w:p>
    <w:p w:rsidR="0031700B" w:rsidRDefault="0031700B" w:rsidP="0031700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3.本办法未尽事宜，由招聘单位主管部门会同区人力资源和社会保障部门酌情研究确定。</w:t>
      </w:r>
    </w:p>
    <w:p w:rsidR="0031700B" w:rsidRDefault="0031700B" w:rsidP="0031700B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1700B"/>
    <w:rsid w:val="00323B43"/>
    <w:rsid w:val="003D37D8"/>
    <w:rsid w:val="00426133"/>
    <w:rsid w:val="004358AB"/>
    <w:rsid w:val="00510BF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0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2018-11-27T01:26:00Z</dcterms:modified>
</cp:coreProperties>
</file>